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198D4" w14:textId="77777777" w:rsidR="00E14A51" w:rsidRPr="00E14A51" w:rsidRDefault="00E14A51" w:rsidP="00E14A51">
      <w:pPr>
        <w:ind w:left="284" w:right="284"/>
        <w:contextualSpacing/>
        <w:jc w:val="both"/>
        <w:rPr>
          <w:rFonts w:eastAsia="Calibri" w:cstheme="minorHAnsi"/>
          <w:b/>
        </w:rPr>
      </w:pPr>
      <w:r w:rsidRPr="00E14A51">
        <w:rPr>
          <w:rFonts w:eastAsia="Calibri" w:cstheme="minorHAnsi"/>
          <w:b/>
        </w:rPr>
        <w:t xml:space="preserve">576105, 576112, 576129, 576136, 576143 L.O.L. </w:t>
      </w:r>
      <w:proofErr w:type="spellStart"/>
      <w:r w:rsidRPr="00E14A51">
        <w:rPr>
          <w:rFonts w:eastAsia="Calibri" w:cstheme="minorHAnsi"/>
          <w:b/>
        </w:rPr>
        <w:t>Surprise</w:t>
      </w:r>
      <w:proofErr w:type="spellEnd"/>
      <w:r w:rsidRPr="00E14A51">
        <w:rPr>
          <w:rFonts w:eastAsia="Calibri" w:cstheme="minorHAnsi"/>
          <w:b/>
        </w:rPr>
        <w:t xml:space="preserve"> </w:t>
      </w:r>
      <w:proofErr w:type="spellStart"/>
      <w:r w:rsidRPr="00E14A51">
        <w:rPr>
          <w:rFonts w:eastAsia="Calibri" w:cstheme="minorHAnsi"/>
          <w:b/>
        </w:rPr>
        <w:t>Glitter</w:t>
      </w:r>
      <w:proofErr w:type="spellEnd"/>
      <w:r w:rsidRPr="00E14A51">
        <w:rPr>
          <w:rFonts w:eastAsia="Calibri" w:cstheme="minorHAnsi"/>
          <w:b/>
        </w:rPr>
        <w:t xml:space="preserve"> </w:t>
      </w:r>
      <w:proofErr w:type="gramStart"/>
      <w:r w:rsidRPr="00E14A51">
        <w:rPr>
          <w:rFonts w:eastAsia="Calibri" w:cstheme="minorHAnsi"/>
          <w:b/>
        </w:rPr>
        <w:t>3-Pack</w:t>
      </w:r>
      <w:proofErr w:type="gramEnd"/>
      <w:r w:rsidRPr="00E14A51">
        <w:rPr>
          <w:rFonts w:eastAsia="Calibri" w:cstheme="minorHAnsi"/>
          <w:b/>
        </w:rPr>
        <w:t xml:space="preserve"> </w:t>
      </w:r>
      <w:proofErr w:type="spellStart"/>
      <w:r w:rsidRPr="00E14A51">
        <w:rPr>
          <w:rFonts w:eastAsia="Calibri" w:cstheme="minorHAnsi"/>
          <w:b/>
        </w:rPr>
        <w:t>Doll</w:t>
      </w:r>
      <w:proofErr w:type="spellEnd"/>
      <w:r w:rsidRPr="00E14A51">
        <w:rPr>
          <w:rFonts w:eastAsia="Calibri" w:cstheme="minorHAnsi"/>
          <w:b/>
        </w:rPr>
        <w:t xml:space="preserve"> - L.O.L. </w:t>
      </w:r>
      <w:proofErr w:type="spellStart"/>
      <w:r w:rsidRPr="00E14A51">
        <w:rPr>
          <w:rFonts w:eastAsia="Calibri" w:cstheme="minorHAnsi"/>
          <w:b/>
        </w:rPr>
        <w:t>Surprise</w:t>
      </w:r>
      <w:proofErr w:type="spellEnd"/>
      <w:r w:rsidRPr="00E14A51">
        <w:rPr>
          <w:rFonts w:eastAsia="Calibri" w:cstheme="minorHAnsi"/>
          <w:b/>
        </w:rPr>
        <w:t xml:space="preserve">! </w:t>
      </w:r>
      <w:proofErr w:type="spellStart"/>
      <w:r w:rsidRPr="00E14A51">
        <w:rPr>
          <w:rFonts w:eastAsia="Calibri" w:cstheme="minorHAnsi"/>
          <w:b/>
        </w:rPr>
        <w:t>Glitter</w:t>
      </w:r>
      <w:proofErr w:type="spellEnd"/>
      <w:r w:rsidRPr="00E14A51">
        <w:rPr>
          <w:rFonts w:eastAsia="Calibri" w:cstheme="minorHAnsi"/>
          <w:b/>
        </w:rPr>
        <w:t xml:space="preserve"> série </w:t>
      </w:r>
      <w:proofErr w:type="gramStart"/>
      <w:r w:rsidRPr="00E14A51">
        <w:rPr>
          <w:rFonts w:eastAsia="Calibri" w:cstheme="minorHAnsi"/>
          <w:b/>
        </w:rPr>
        <w:t>3-pack</w:t>
      </w:r>
      <w:proofErr w:type="gramEnd"/>
    </w:p>
    <w:p w14:paraId="6ED0B283" w14:textId="184BA400" w:rsidR="00E14A51" w:rsidRDefault="00E14A51" w:rsidP="00E14A51">
      <w:pPr>
        <w:ind w:left="284" w:right="284"/>
        <w:contextualSpacing/>
        <w:jc w:val="both"/>
        <w:rPr>
          <w:rFonts w:cstheme="minorHAnsi"/>
        </w:rPr>
      </w:pPr>
      <w:r w:rsidRPr="00E14A51">
        <w:rPr>
          <w:rFonts w:eastAsia="Calibri" w:cstheme="minorHAnsi"/>
          <w:b/>
        </w:rPr>
        <w:t xml:space="preserve">CZ: VAROVÁNÍ! Nevhodné pro děti do 3 let. Malé části. Nebezpečí zalknutí. </w:t>
      </w:r>
      <w:r w:rsidRPr="00E14A51">
        <w:rPr>
          <w:rFonts w:eastAsia="Calibri" w:cstheme="minorHAnsi"/>
          <w:bCs/>
        </w:rPr>
        <w:t xml:space="preserve">Nutný dohled dospělé osoby při hře s vodou. </w:t>
      </w:r>
      <w:r w:rsidRPr="00E14A51">
        <w:rPr>
          <w:rFonts w:eastAsia="Calibri" w:cstheme="minorHAnsi"/>
        </w:rPr>
        <w:t xml:space="preserve">Obal a adresu si uschovejte, obsahuje důležité informace. Obsah balení a jeho barvy se mohou lišit od vyobrazení na obalu. Vyrobeno v Číně. </w:t>
      </w:r>
      <w:proofErr w:type="gramStart"/>
      <w:r w:rsidRPr="00E14A51">
        <w:rPr>
          <w:rFonts w:eastAsia="Calibri" w:cstheme="minorHAnsi"/>
        </w:rPr>
        <w:t>Obal</w:t>
      </w:r>
      <w:proofErr w:type="gramEnd"/>
      <w:r w:rsidRPr="00E14A51">
        <w:rPr>
          <w:rFonts w:eastAsia="Calibri" w:cstheme="minorHAnsi"/>
        </w:rPr>
        <w:t xml:space="preserve">, etikety a připevňovací části nejsou součástí výrobku, odstraňte je před tím, než předáte produkt dítěti. </w:t>
      </w:r>
      <w:r w:rsidRPr="00E14A51">
        <w:rPr>
          <w:rFonts w:cstheme="minorHAnsi"/>
        </w:rPr>
        <w:t xml:space="preserve">©MGA </w:t>
      </w:r>
      <w:proofErr w:type="spellStart"/>
      <w:r w:rsidRPr="00E14A51">
        <w:rPr>
          <w:rFonts w:cstheme="minorHAnsi"/>
        </w:rPr>
        <w:t>Entertainment</w:t>
      </w:r>
      <w:proofErr w:type="spellEnd"/>
      <w:r w:rsidRPr="00E14A51">
        <w:rPr>
          <w:rFonts w:cstheme="minorHAnsi"/>
        </w:rPr>
        <w:t xml:space="preserve">, Inc. L.O.L. </w:t>
      </w:r>
      <w:proofErr w:type="gramStart"/>
      <w:r w:rsidRPr="00E14A51">
        <w:rPr>
          <w:rFonts w:cstheme="minorHAnsi"/>
        </w:rPr>
        <w:t>SURPRISE!™</w:t>
      </w:r>
      <w:proofErr w:type="gramEnd"/>
      <w:r w:rsidRPr="00E14A51">
        <w:rPr>
          <w:rFonts w:cstheme="minorHAnsi"/>
        </w:rPr>
        <w:t xml:space="preserve"> je ochranná známka společnosti MGA v USA a dalších zemích. Všechna loga, jména, postavy, podobnosti, obrázky, slogany a vzhled balení jsou majetkem MGA.</w:t>
      </w:r>
      <w:r w:rsidRPr="00E14A51">
        <w:rPr>
          <w:rFonts w:cstheme="minorHAnsi"/>
          <w:b/>
          <w:bCs/>
        </w:rPr>
        <w:t xml:space="preserve"> </w:t>
      </w:r>
      <w:r w:rsidRPr="00E14A51">
        <w:rPr>
          <w:rFonts w:cstheme="minorHAnsi"/>
          <w:b/>
        </w:rPr>
        <w:t xml:space="preserve">Důležité informace: </w:t>
      </w:r>
      <w:r w:rsidRPr="00E14A51">
        <w:rPr>
          <w:rFonts w:cstheme="minorHAnsi"/>
        </w:rPr>
        <w:t xml:space="preserve">Před použitím zakryjte hrací plochu tak, abyste předešli případnému poškození vodou. </w:t>
      </w:r>
      <w:r w:rsidRPr="00E14A51">
        <w:rPr>
          <w:rFonts w:cstheme="minorHAnsi"/>
          <w:b/>
          <w:bCs/>
        </w:rPr>
        <w:t>Obrázkový návod přiložen.</w:t>
      </w:r>
      <w:r w:rsidRPr="00E14A51">
        <w:rPr>
          <w:rFonts w:cstheme="minorHAnsi"/>
        </w:rPr>
        <w:t xml:space="preserve"> Postavička bude plakat, plivat, čůrat nebo měnit barvu. Pro lepší výsledky dejte postavičce napít z lahvičky 2x. Nedávejte jí pít příliš teplou vodu (více než 43 </w:t>
      </w:r>
      <w:r w:rsidRPr="00E14A51">
        <w:rPr>
          <w:rFonts w:cstheme="minorHAnsi"/>
          <w:shd w:val="clear" w:color="auto" w:fill="FFFFFF"/>
        </w:rPr>
        <w:t xml:space="preserve">°C). Nedávejte ji do příliš teplé vody </w:t>
      </w:r>
      <w:r w:rsidRPr="00E14A51">
        <w:rPr>
          <w:rFonts w:cstheme="minorHAnsi"/>
        </w:rPr>
        <w:t>(více než 43 </w:t>
      </w:r>
      <w:r w:rsidRPr="00E14A51">
        <w:rPr>
          <w:rFonts w:cstheme="minorHAnsi"/>
          <w:shd w:val="clear" w:color="auto" w:fill="FFFFFF"/>
        </w:rPr>
        <w:t xml:space="preserve">°C). Po každém použití vylijte všechnu vodu z lahvičky i postavičky. Osušte postavičku suchým hadříkem a nechte vyschnout v dobře větrané místnosti. K osušení nepoužívejte žádné předměty vydávající teplo. Nenechávejte postavičku delší dobu na přímém slunci. </w:t>
      </w:r>
      <w:r w:rsidRPr="00E14A51">
        <w:rPr>
          <w:rFonts w:cstheme="minorHAnsi"/>
          <w:b/>
          <w:bCs/>
          <w:shd w:val="clear" w:color="auto" w:fill="FFFFFF"/>
        </w:rPr>
        <w:t>Změna barvy:</w:t>
      </w:r>
      <w:r w:rsidRPr="00E14A51">
        <w:rPr>
          <w:rFonts w:cstheme="minorHAnsi"/>
          <w:shd w:val="clear" w:color="auto" w:fill="FFFFFF"/>
        </w:rPr>
        <w:t xml:space="preserve"> Změna barvy za studena nastane při cca 15 °C, nejlepší efekt je však při 0 °C a méně. Změna barvy za tepla nastane při cca 38 °C, nejlepší efekt je však při 40 °C. Změna barvy se projeví pouze na určitých částech těla postaviček nebo na některých částech jejich příslušenství. Pokud nedojde ke změně barvy dostatečně rychle, může být teplota plastu podobná teplotě vody. Teplota vody, ve které dojde ke změně barvy, může být ovlivněna počasím. Efekt změny barvy má dlouhou, ale omezenou životnost. </w:t>
      </w:r>
      <w:r w:rsidRPr="00E14A51">
        <w:rPr>
          <w:rFonts w:cstheme="minorHAnsi"/>
          <w:b/>
          <w:bCs/>
          <w:shd w:val="clear" w:color="auto" w:fill="FFFFFF"/>
        </w:rPr>
        <w:t xml:space="preserve">Obsah balení: </w:t>
      </w:r>
      <w:r w:rsidRPr="00E14A51">
        <w:rPr>
          <w:rFonts w:cstheme="minorHAnsi"/>
          <w:shd w:val="clear" w:color="auto" w:fill="FFFFFF"/>
        </w:rPr>
        <w:t xml:space="preserve">3 </w:t>
      </w:r>
      <w:proofErr w:type="gramStart"/>
      <w:r w:rsidRPr="00E14A51">
        <w:rPr>
          <w:rFonts w:cstheme="minorHAnsi"/>
          <w:shd w:val="clear" w:color="auto" w:fill="FFFFFF"/>
        </w:rPr>
        <w:t>postavičky,  4</w:t>
      </w:r>
      <w:proofErr w:type="gramEnd"/>
      <w:r w:rsidRPr="00E14A51">
        <w:rPr>
          <w:rFonts w:cstheme="minorHAnsi"/>
          <w:shd w:val="clear" w:color="auto" w:fill="FFFFFF"/>
        </w:rPr>
        <w:t xml:space="preserve"> – 6 módních doplňků, 3 páry bot, 3 – 4  doplňky, 3 obaly, 3 tajné zprávy.  </w:t>
      </w:r>
      <w:r w:rsidRPr="00E14A51">
        <w:rPr>
          <w:rStyle w:val="Hypertextovodkaz"/>
          <w:rFonts w:cstheme="minorHAnsi"/>
        </w:rPr>
        <w:t>www.mgae.cz.</w:t>
      </w:r>
      <w:r w:rsidRPr="00E14A51">
        <w:rPr>
          <w:rFonts w:cstheme="minorHAnsi"/>
          <w:shd w:val="clear" w:color="auto" w:fill="FFFFFF"/>
        </w:rPr>
        <w:t xml:space="preserve"> </w:t>
      </w:r>
      <w:r w:rsidRPr="00E14A51">
        <w:rPr>
          <w:rFonts w:cstheme="minorHAnsi"/>
          <w:b/>
        </w:rPr>
        <w:t xml:space="preserve">Dovozce pro ČR: </w:t>
      </w:r>
      <w:r w:rsidRPr="00E14A51">
        <w:rPr>
          <w:rFonts w:cstheme="minorHAnsi"/>
        </w:rPr>
        <w:t xml:space="preserve">MGA </w:t>
      </w:r>
      <w:proofErr w:type="spellStart"/>
      <w:r w:rsidRPr="00E14A51">
        <w:rPr>
          <w:rFonts w:cstheme="minorHAnsi"/>
        </w:rPr>
        <w:t>Entertainment</w:t>
      </w:r>
      <w:proofErr w:type="spellEnd"/>
      <w:r w:rsidRPr="00E14A51">
        <w:rPr>
          <w:rFonts w:cstheme="minorHAnsi"/>
        </w:rPr>
        <w:t xml:space="preserve"> </w:t>
      </w:r>
      <w:proofErr w:type="spellStart"/>
      <w:r w:rsidRPr="00E14A51">
        <w:rPr>
          <w:rFonts w:cstheme="minorHAnsi"/>
        </w:rPr>
        <w:t>Netherlands</w:t>
      </w:r>
      <w:proofErr w:type="spellEnd"/>
      <w:r w:rsidRPr="00E14A51">
        <w:rPr>
          <w:rFonts w:cstheme="minorHAnsi"/>
        </w:rPr>
        <w:t xml:space="preserve"> B.V., Baronie 68-70, 2404 XG </w:t>
      </w:r>
      <w:proofErr w:type="spellStart"/>
      <w:r w:rsidRPr="00E14A51">
        <w:rPr>
          <w:rFonts w:cstheme="minorHAnsi"/>
        </w:rPr>
        <w:t>Alphen</w:t>
      </w:r>
      <w:proofErr w:type="spellEnd"/>
      <w:r w:rsidRPr="00E14A51">
        <w:rPr>
          <w:rFonts w:cstheme="minorHAnsi"/>
        </w:rPr>
        <w:t xml:space="preserve"> </w:t>
      </w:r>
      <w:proofErr w:type="spellStart"/>
      <w:r w:rsidRPr="00E14A51">
        <w:rPr>
          <w:rFonts w:cstheme="minorHAnsi"/>
        </w:rPr>
        <w:t>aan</w:t>
      </w:r>
      <w:proofErr w:type="spellEnd"/>
      <w:r w:rsidRPr="00E14A51">
        <w:rPr>
          <w:rFonts w:cstheme="minorHAnsi"/>
        </w:rPr>
        <w:t xml:space="preserve"> den </w:t>
      </w:r>
      <w:proofErr w:type="spellStart"/>
      <w:r w:rsidRPr="00E14A51">
        <w:rPr>
          <w:rFonts w:cstheme="minorHAnsi"/>
        </w:rPr>
        <w:t>Rijn</w:t>
      </w:r>
      <w:proofErr w:type="spellEnd"/>
      <w:r w:rsidRPr="00E14A51">
        <w:rPr>
          <w:rFonts w:cstheme="minorHAnsi"/>
        </w:rPr>
        <w:t>, Nizozemsko. Email: </w:t>
      </w:r>
      <w:hyperlink r:id="rId4" w:history="1">
        <w:r w:rsidRPr="00E14A51">
          <w:rPr>
            <w:rStyle w:val="Hypertextovodkaz"/>
            <w:rFonts w:cstheme="minorHAnsi"/>
          </w:rPr>
          <w:t>zakaznickyservis@mgae.com</w:t>
        </w:r>
      </w:hyperlink>
      <w:r w:rsidRPr="00E14A51">
        <w:rPr>
          <w:rStyle w:val="Hypertextovodkaz"/>
          <w:rFonts w:cstheme="minorHAnsi"/>
        </w:rPr>
        <w:t>.</w:t>
      </w:r>
      <w:r w:rsidRPr="00E14A51">
        <w:rPr>
          <w:rFonts w:cstheme="minorHAnsi"/>
        </w:rPr>
        <w:t xml:space="preserve"> </w:t>
      </w:r>
    </w:p>
    <w:p w14:paraId="28DF454E" w14:textId="77777777" w:rsidR="00E14A51" w:rsidRPr="00E14A51" w:rsidRDefault="00E14A51" w:rsidP="00E14A51">
      <w:pPr>
        <w:ind w:left="284" w:right="284"/>
        <w:contextualSpacing/>
        <w:jc w:val="both"/>
        <w:rPr>
          <w:rFonts w:cstheme="minorHAnsi"/>
        </w:rPr>
      </w:pPr>
    </w:p>
    <w:p w14:paraId="575D3FF4" w14:textId="77777777" w:rsidR="00E14A51" w:rsidRPr="00E14A51" w:rsidRDefault="00E14A51" w:rsidP="00E14A51">
      <w:pPr>
        <w:ind w:left="284" w:right="284"/>
        <w:contextualSpacing/>
        <w:jc w:val="both"/>
        <w:rPr>
          <w:rFonts w:cstheme="minorHAnsi"/>
        </w:rPr>
      </w:pPr>
      <w:r w:rsidRPr="00E14A51">
        <w:rPr>
          <w:rFonts w:cstheme="minorHAnsi"/>
          <w:b/>
          <w:bCs/>
          <w:lang w:val="sk-SK"/>
        </w:rPr>
        <w:t>SK: VAROVANIE! Nie je vhodné pre deti do 3 rokov. Malé časti. Nebezpečenstvo prehltnutia.</w:t>
      </w:r>
      <w:r w:rsidRPr="00E14A51">
        <w:rPr>
          <w:rFonts w:cstheme="minorHAnsi"/>
          <w:lang w:val="sk-SK"/>
        </w:rPr>
        <w:t xml:space="preserve"> Nutný dohľad dospelej osoby pri hre s vodou. Obal a adresu si uschovajte, obsahuje dôležité informácie. Obsah balenia a jeho farby sa môžu líšiť od vyobrazenia na obale. Vyrobené v Číne. Obal, etikety a upevňovacie časti nie sú súčasťou výrobku, odstráňte ich pred tým, čo odovzdáte produkt dieťaťu. ©MGA </w:t>
      </w:r>
      <w:proofErr w:type="spellStart"/>
      <w:r w:rsidRPr="00E14A51">
        <w:rPr>
          <w:rFonts w:cstheme="minorHAnsi"/>
          <w:lang w:val="sk-SK"/>
        </w:rPr>
        <w:t>Entertainment</w:t>
      </w:r>
      <w:proofErr w:type="spellEnd"/>
      <w:r w:rsidRPr="00E14A51">
        <w:rPr>
          <w:rFonts w:cstheme="minorHAnsi"/>
          <w:lang w:val="sk-SK"/>
        </w:rPr>
        <w:t xml:space="preserve">, </w:t>
      </w:r>
      <w:proofErr w:type="spellStart"/>
      <w:r w:rsidRPr="00E14A51">
        <w:rPr>
          <w:rFonts w:cstheme="minorHAnsi"/>
          <w:lang w:val="sk-SK"/>
        </w:rPr>
        <w:t>Inc</w:t>
      </w:r>
      <w:proofErr w:type="spellEnd"/>
      <w:r w:rsidRPr="00E14A51">
        <w:rPr>
          <w:rFonts w:cstheme="minorHAnsi"/>
          <w:lang w:val="sk-SK"/>
        </w:rPr>
        <w:t xml:space="preserve">. </w:t>
      </w:r>
      <w:r w:rsidRPr="00E14A51">
        <w:rPr>
          <w:rFonts w:cstheme="minorHAnsi"/>
        </w:rPr>
        <w:t xml:space="preserve">L.O.L. </w:t>
      </w:r>
      <w:proofErr w:type="gramStart"/>
      <w:r w:rsidRPr="00E14A51">
        <w:rPr>
          <w:rFonts w:cstheme="minorHAnsi"/>
        </w:rPr>
        <w:t>SURPRISE!™</w:t>
      </w:r>
      <w:proofErr w:type="gramEnd"/>
      <w:r w:rsidRPr="00E14A51">
        <w:rPr>
          <w:rFonts w:cstheme="minorHAnsi"/>
        </w:rPr>
        <w:t xml:space="preserve"> </w:t>
      </w:r>
      <w:r w:rsidRPr="00E14A51">
        <w:rPr>
          <w:rFonts w:cstheme="minorHAnsi"/>
          <w:lang w:val="sk-SK"/>
        </w:rPr>
        <w:t xml:space="preserve">je ochranná známka spoločnosti MGA v USA a ďalších krajinách. Všetky logá, mená, postavy, podobnosti, obrázky, slogany a vzhľad balenia sú majetkom MGA. </w:t>
      </w:r>
      <w:r w:rsidRPr="00E14A51">
        <w:rPr>
          <w:rFonts w:cstheme="minorHAnsi"/>
          <w:b/>
          <w:bCs/>
          <w:lang w:val="sk-SK"/>
        </w:rPr>
        <w:t xml:space="preserve">Dôležité informácie: </w:t>
      </w:r>
      <w:r w:rsidRPr="00E14A51">
        <w:rPr>
          <w:rFonts w:cstheme="minorHAnsi"/>
          <w:lang w:val="sk-SK"/>
        </w:rPr>
        <w:t xml:space="preserve">Pred použitím zakryte hraciu plochu tak, aby ste predišli prípadnému poškodeniu vodou. Postavička bude plakať, pľuvať, cikať alebo meniť farbu. </w:t>
      </w:r>
      <w:r w:rsidRPr="00E14A51">
        <w:rPr>
          <w:rFonts w:cstheme="minorHAnsi"/>
          <w:b/>
          <w:bCs/>
          <w:lang w:val="sk-SK"/>
        </w:rPr>
        <w:t>Obrázkový návod priložený.</w:t>
      </w:r>
      <w:r w:rsidRPr="00E14A51">
        <w:rPr>
          <w:rFonts w:cstheme="minorHAnsi"/>
          <w:lang w:val="sk-SK"/>
        </w:rPr>
        <w:t xml:space="preserve"> Pre lepšie výsledky dajte postavičke napiť z fľaštičky 2x. Nedávajte jej piť príliš teplú vodu (viac ako 43 °C). Nedávajte ju do príliš teplej vody (viac ako 43 °C). Po každom použití vylejte všetku vodu z fľaše aj z postavičky. Osušte postavičku suchou handričkou a nechajte vyschnúť v dobre vetranej miestnosti. K osušeniu nepoužívajte žiadne predmety vydávajúce teplo. Nenechávajte postavičku dlhšiu dobu na priamom slnku. Retiazka prestrčená cez zberateľskú kartičku, ktorá kartu mení na medailu, nie je súčasťou balenia. </w:t>
      </w:r>
      <w:r w:rsidRPr="00E14A51">
        <w:rPr>
          <w:rFonts w:cstheme="minorHAnsi"/>
          <w:b/>
          <w:bCs/>
          <w:lang w:val="sk-SK"/>
        </w:rPr>
        <w:t>Zmena farby:</w:t>
      </w:r>
      <w:r w:rsidRPr="00E14A51">
        <w:rPr>
          <w:rFonts w:cstheme="minorHAnsi"/>
          <w:lang w:val="sk-SK"/>
        </w:rPr>
        <w:t xml:space="preserve"> Zmena farby za studena nastane pri cca 15 °C, najlepší efekt je však pri 0 °C a menej. Zmena farby za tepla nastane pri cca 38 °C, najlepší efekt je však pri 40 °C. Zmena farby sa prejaví len na určitých častiach tela postavičiek alebo na niektorých častiach ich príslušenstva. Pokiaľ nedôjde k zmene farby dostatočne rýchlo, môže byť teplota plastu podobná teplote vody. Teplota vody, v ktorej dôjde k zmene farby, môže byť ovplyvnená počasím. Efekt zmeny farby má dlhú, ale obmedzenú životnosť. </w:t>
      </w:r>
      <w:r w:rsidRPr="00E14A51">
        <w:rPr>
          <w:rFonts w:cstheme="minorHAnsi"/>
          <w:b/>
          <w:bCs/>
          <w:lang w:val="sk-SK"/>
        </w:rPr>
        <w:t>Obsah balenia:</w:t>
      </w:r>
      <w:r w:rsidRPr="00E14A51">
        <w:rPr>
          <w:rFonts w:cstheme="minorHAnsi"/>
          <w:lang w:val="sk-SK"/>
        </w:rPr>
        <w:t xml:space="preserve"> 3 postavičky, 4 - 6 módnych doplnkov, 3 páry topánok, 3 - 4 doplnky, 3 obaly, 3 tajné správy.</w:t>
      </w:r>
      <w:r w:rsidRPr="00E14A51">
        <w:rPr>
          <w:rStyle w:val="Hypertextovodkaz"/>
          <w:rFonts w:cstheme="minorHAnsi"/>
        </w:rPr>
        <w:t xml:space="preserve"> www.mgae.cz.</w:t>
      </w:r>
      <w:r w:rsidRPr="00E14A51">
        <w:rPr>
          <w:rFonts w:cstheme="minorHAnsi"/>
          <w:lang w:val="sk-SK"/>
        </w:rPr>
        <w:t xml:space="preserve"> </w:t>
      </w:r>
      <w:r w:rsidRPr="00E14A51">
        <w:rPr>
          <w:rFonts w:cstheme="minorHAnsi"/>
          <w:b/>
          <w:bCs/>
          <w:lang w:val="sk-SK"/>
        </w:rPr>
        <w:t>Dovozca pre SR:</w:t>
      </w:r>
      <w:r w:rsidRPr="00E14A51">
        <w:rPr>
          <w:rFonts w:cstheme="minorHAnsi"/>
          <w:lang w:val="sk-SK"/>
        </w:rPr>
        <w:t xml:space="preserve"> MGA </w:t>
      </w:r>
      <w:proofErr w:type="spellStart"/>
      <w:r w:rsidRPr="00E14A51">
        <w:rPr>
          <w:rFonts w:cstheme="minorHAnsi"/>
          <w:lang w:val="sk-SK"/>
        </w:rPr>
        <w:t>Entertainment</w:t>
      </w:r>
      <w:proofErr w:type="spellEnd"/>
      <w:r w:rsidRPr="00E14A51">
        <w:rPr>
          <w:rFonts w:cstheme="minorHAnsi"/>
          <w:lang w:val="sk-SK"/>
        </w:rPr>
        <w:t xml:space="preserve"> </w:t>
      </w:r>
      <w:proofErr w:type="spellStart"/>
      <w:r w:rsidRPr="00E14A51">
        <w:rPr>
          <w:rFonts w:cstheme="minorHAnsi"/>
          <w:lang w:val="sk-SK"/>
        </w:rPr>
        <w:t>Netherlands</w:t>
      </w:r>
      <w:proofErr w:type="spellEnd"/>
      <w:r w:rsidRPr="00E14A51">
        <w:rPr>
          <w:rFonts w:cstheme="minorHAnsi"/>
          <w:lang w:val="sk-SK"/>
        </w:rPr>
        <w:t xml:space="preserve"> B.V., </w:t>
      </w:r>
      <w:proofErr w:type="spellStart"/>
      <w:r w:rsidRPr="00E14A51">
        <w:rPr>
          <w:rFonts w:cstheme="minorHAnsi"/>
          <w:lang w:val="sk-SK"/>
        </w:rPr>
        <w:t>Baronie</w:t>
      </w:r>
      <w:proofErr w:type="spellEnd"/>
      <w:r w:rsidRPr="00E14A51">
        <w:rPr>
          <w:rFonts w:cstheme="minorHAnsi"/>
          <w:lang w:val="sk-SK"/>
        </w:rPr>
        <w:t xml:space="preserve"> 68-70, 2404 XG </w:t>
      </w:r>
      <w:proofErr w:type="spellStart"/>
      <w:r w:rsidRPr="00E14A51">
        <w:rPr>
          <w:rFonts w:cstheme="minorHAnsi"/>
          <w:lang w:val="sk-SK"/>
        </w:rPr>
        <w:t>Alphen</w:t>
      </w:r>
      <w:proofErr w:type="spellEnd"/>
      <w:r w:rsidRPr="00E14A51">
        <w:rPr>
          <w:rFonts w:cstheme="minorHAnsi"/>
          <w:lang w:val="sk-SK"/>
        </w:rPr>
        <w:t xml:space="preserve"> </w:t>
      </w:r>
      <w:proofErr w:type="spellStart"/>
      <w:r w:rsidRPr="00E14A51">
        <w:rPr>
          <w:rFonts w:cstheme="minorHAnsi"/>
          <w:lang w:val="sk-SK"/>
        </w:rPr>
        <w:t>aan</w:t>
      </w:r>
      <w:proofErr w:type="spellEnd"/>
      <w:r w:rsidRPr="00E14A51">
        <w:rPr>
          <w:rFonts w:cstheme="minorHAnsi"/>
          <w:lang w:val="sk-SK"/>
        </w:rPr>
        <w:t xml:space="preserve"> </w:t>
      </w:r>
      <w:proofErr w:type="spellStart"/>
      <w:r w:rsidRPr="00E14A51">
        <w:rPr>
          <w:rFonts w:cstheme="minorHAnsi"/>
          <w:lang w:val="sk-SK"/>
        </w:rPr>
        <w:t>den</w:t>
      </w:r>
      <w:proofErr w:type="spellEnd"/>
      <w:r w:rsidRPr="00E14A51">
        <w:rPr>
          <w:rFonts w:cstheme="minorHAnsi"/>
          <w:lang w:val="sk-SK"/>
        </w:rPr>
        <w:t xml:space="preserve"> </w:t>
      </w:r>
      <w:proofErr w:type="spellStart"/>
      <w:r w:rsidRPr="00E14A51">
        <w:rPr>
          <w:rFonts w:cstheme="minorHAnsi"/>
          <w:lang w:val="sk-SK"/>
        </w:rPr>
        <w:t>Rijn</w:t>
      </w:r>
      <w:proofErr w:type="spellEnd"/>
      <w:r w:rsidRPr="00E14A51">
        <w:rPr>
          <w:rFonts w:cstheme="minorHAnsi"/>
          <w:lang w:val="sk-SK"/>
        </w:rPr>
        <w:t xml:space="preserve">, Holandsko. Email: </w:t>
      </w:r>
      <w:hyperlink r:id="rId5" w:history="1">
        <w:r w:rsidRPr="00E14A51">
          <w:rPr>
            <w:rStyle w:val="Hypertextovodkaz"/>
            <w:rFonts w:cstheme="minorHAnsi"/>
            <w:lang w:val="sk-SK"/>
          </w:rPr>
          <w:t>zakaznickyservis@mgae.com</w:t>
        </w:r>
      </w:hyperlink>
      <w:r w:rsidRPr="00E14A51">
        <w:rPr>
          <w:rFonts w:cstheme="minorHAnsi"/>
          <w:lang w:val="sk-SK"/>
        </w:rPr>
        <w:t>.</w:t>
      </w:r>
    </w:p>
    <w:p w14:paraId="60D8DDC5" w14:textId="77777777" w:rsidR="004718A1" w:rsidRDefault="004718A1"/>
    <w:sectPr w:rsidR="004718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A51"/>
    <w:rsid w:val="000D5FB6"/>
    <w:rsid w:val="00110727"/>
    <w:rsid w:val="004718A1"/>
    <w:rsid w:val="00E14A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4E8C9"/>
  <w15:chartTrackingRefBased/>
  <w15:docId w15:val="{3BF6611D-B9C8-4C2D-A7A3-C181D2DF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14A5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E14A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kaznickyservis@mgae.com" TargetMode="External"/><Relationship Id="rId4" Type="http://schemas.openxmlformats.org/officeDocument/2006/relationships/hyperlink" Target="mailto:zakaznickyservis@mgae.co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3618</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Secká, Jana</dc:creator>
  <cp:keywords/>
  <dc:description/>
  <cp:lastModifiedBy>Secká, Jana</cp:lastModifiedBy>
  <cp:revision>1</cp:revision>
  <dcterms:created xsi:type="dcterms:W3CDTF">2022-07-06T14:10:00Z</dcterms:created>
  <dcterms:modified xsi:type="dcterms:W3CDTF">2022-07-06T14:11:00Z</dcterms:modified>
</cp:coreProperties>
</file>